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9D" w:rsidRPr="00C2139D" w:rsidRDefault="00C2139D" w:rsidP="00C2139D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№12</w:t>
      </w:r>
    </w:p>
    <w:p w:rsidR="00C2139D" w:rsidRPr="00C2139D" w:rsidRDefault="00C2139D" w:rsidP="00C2139D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DBCF6" wp14:editId="0DE6DAF9">
                <wp:simplePos x="0" y="0"/>
                <wp:positionH relativeFrom="column">
                  <wp:posOffset>-165735</wp:posOffset>
                </wp:positionH>
                <wp:positionV relativeFrom="paragraph">
                  <wp:posOffset>1070610</wp:posOffset>
                </wp:positionV>
                <wp:extent cx="3629660" cy="2581275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660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39D" w:rsidRPr="00C2139D" w:rsidRDefault="00C2139D" w:rsidP="00C2139D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«Волшебная страна Математики»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3.05pt;margin-top:84.3pt;width:285.8pt;height:203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" filled="f" stroked="f">
                <v:fill o:detectmouseclick="t"/>
                <v:textbox style="mso-fit-shape-to-text:t">
                  <w:txbxContent>
                    <w:p w:rsidR="00C2139D" w:rsidRPr="00C2139D" w:rsidRDefault="00C2139D" w:rsidP="00C2139D">
                      <w:pPr>
                        <w:autoSpaceDE w:val="0"/>
                        <w:autoSpaceDN w:val="0"/>
                        <w:adjustRightInd w:val="0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«Волшебная страна Математики»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139D">
        <w:rPr>
          <w:rFonts w:ascii="Times New Roman" w:hAnsi="Times New Roman" w:cs="Times New Roman"/>
          <w:sz w:val="40"/>
          <w:szCs w:val="40"/>
        </w:rPr>
        <w:t>Проект</w:t>
      </w: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31D7219" wp14:editId="2BAF04B9">
            <wp:simplePos x="0" y="0"/>
            <wp:positionH relativeFrom="column">
              <wp:posOffset>1078865</wp:posOffset>
            </wp:positionH>
            <wp:positionV relativeFrom="paragraph">
              <wp:posOffset>2032635</wp:posOffset>
            </wp:positionV>
            <wp:extent cx="3545205" cy="2658745"/>
            <wp:effectExtent l="0" t="0" r="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3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3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139D" w:rsidRDefault="00C2139D" w:rsidP="00C213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2139D" w:rsidRDefault="00C2139D" w:rsidP="00C213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2139D" w:rsidRDefault="00C2139D" w:rsidP="00C213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2139D" w:rsidRDefault="00C2139D" w:rsidP="00C213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2139D" w:rsidRDefault="00C2139D" w:rsidP="00C213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2139D" w:rsidRDefault="00C2139D" w:rsidP="00C2139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2139D" w:rsidRDefault="00C2139D" w:rsidP="00C2139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C2139D"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 w:rsidRPr="00C2139D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2139D" w:rsidRDefault="00C2139D" w:rsidP="00C213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2020г.</w:t>
      </w:r>
    </w:p>
    <w:p w:rsidR="00C2139D" w:rsidRPr="00C2139D" w:rsidRDefault="00C2139D" w:rsidP="00C213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«Без игры нет, и не может быть полноценного умственного развития.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2139D">
        <w:rPr>
          <w:rFonts w:ascii="Times New Roman" w:hAnsi="Times New Roman" w:cs="Times New Roman"/>
          <w:i/>
          <w:iCs/>
          <w:sz w:val="28"/>
          <w:szCs w:val="28"/>
        </w:rPr>
        <w:t> Игра – это огромное окно, через которое в духовный мир ребенка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2139D">
        <w:rPr>
          <w:rFonts w:ascii="Times New Roman" w:hAnsi="Times New Roman" w:cs="Times New Roman"/>
          <w:i/>
          <w:iCs/>
          <w:sz w:val="28"/>
          <w:szCs w:val="28"/>
        </w:rPr>
        <w:t> вливается живительный поток представлений, понятий.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2139D">
        <w:rPr>
          <w:rFonts w:ascii="Times New Roman" w:hAnsi="Times New Roman" w:cs="Times New Roman"/>
          <w:i/>
          <w:iCs/>
          <w:sz w:val="28"/>
          <w:szCs w:val="28"/>
        </w:rPr>
        <w:t>Игра-это искра, зажигающая огонек пытливости и любознательности»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2139D">
        <w:rPr>
          <w:rFonts w:ascii="Times New Roman" w:hAnsi="Times New Roman" w:cs="Times New Roman"/>
          <w:i/>
          <w:iCs/>
          <w:sz w:val="28"/>
          <w:szCs w:val="28"/>
        </w:rPr>
        <w:t>В.А. Сухомлинский.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         Огромную роль в умственном воспитании и в развитии интеллекта ребенка играет математическое развитие. Математика обладает уникальным развивающим эффектом. </w:t>
      </w:r>
      <w:proofErr w:type="gramStart"/>
      <w:r w:rsidRPr="00C2139D">
        <w:rPr>
          <w:rFonts w:ascii="Times New Roman" w:hAnsi="Times New Roman" w:cs="Times New Roman"/>
          <w:sz w:val="28"/>
          <w:szCs w:val="28"/>
        </w:rPr>
        <w:t>Ее изучение способствует развитию мышления, памяти, речи, воображения, эмоций,  формирует настойчивость, терпение, творческий потенциал личности.</w:t>
      </w:r>
      <w:proofErr w:type="gramEnd"/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        Потенциал педагога дошкольного учреждения состоит не в передаче тех или иных математических знаний и навыков, а в приобщении детей к материалу, дающему пищу мышлению и воображению, затрагивающему не только часто интеллектуальную, но и эмоциональную сферу ребенка. Педагог должен дать ребенку почувствовать, что он сможет понять, но и общие закономерности. А главное познать радость </w:t>
      </w:r>
      <w:proofErr w:type="gramStart"/>
      <w:r w:rsidRPr="00C2139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2139D">
        <w:rPr>
          <w:rFonts w:ascii="Times New Roman" w:hAnsi="Times New Roman" w:cs="Times New Roman"/>
          <w:sz w:val="28"/>
          <w:szCs w:val="28"/>
        </w:rPr>
        <w:t xml:space="preserve"> преодолений трудностей. Следовательно, одной из наиболее важных задач педагогов дошкольных образовательных учреждений является развитие у ребенка интереса к математике в дошкольном возрасте.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Default="00C2139D" w:rsidP="00C2139D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  <w:r w:rsidRPr="00C2139D"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  <w:t xml:space="preserve">                   </w:t>
      </w:r>
    </w:p>
    <w:p w:rsidR="00C2139D" w:rsidRDefault="00C2139D" w:rsidP="00C2139D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  <w:lastRenderedPageBreak/>
        <w:t xml:space="preserve">     </w:t>
      </w:r>
      <w:r w:rsidRPr="00C2139D">
        <w:rPr>
          <w:rFonts w:ascii="Times New Roman" w:hAnsi="Times New Roman" w:cs="Times New Roman"/>
          <w:sz w:val="28"/>
          <w:szCs w:val="28"/>
        </w:rPr>
        <w:t>Паспорт  проекта</w:t>
      </w:r>
    </w:p>
    <w:p w:rsidR="00C2139D" w:rsidRDefault="00C2139D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39D">
        <w:rPr>
          <w:rFonts w:ascii="Times New Roman" w:hAnsi="Times New Roman" w:cs="Times New Roman"/>
          <w:sz w:val="28"/>
          <w:szCs w:val="28"/>
        </w:rPr>
        <w:t>Автор проекта</w:t>
      </w:r>
      <w:r w:rsidRPr="00C2139D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C2139D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Pr="00C2139D">
        <w:rPr>
          <w:rFonts w:ascii="Times New Roman" w:hAnsi="Times New Roman" w:cs="Times New Roman"/>
          <w:sz w:val="28"/>
          <w:szCs w:val="28"/>
          <w:u w:val="single"/>
        </w:rPr>
        <w:t xml:space="preserve"> Марина Викторовна</w:t>
      </w:r>
    </w:p>
    <w:p w:rsidR="005A053A" w:rsidRPr="00C2139D" w:rsidRDefault="005A053A" w:rsidP="005A053A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Тема проекта: «Волшебная страна Математика». </w:t>
      </w:r>
    </w:p>
    <w:tbl>
      <w:tblPr>
        <w:tblpPr w:leftFromText="180" w:rightFromText="180" w:vertAnchor="text" w:horzAnchor="margin" w:tblpXSpec="center" w:tblpY="439"/>
        <w:tblW w:w="9606" w:type="dxa"/>
        <w:tblLayout w:type="fixed"/>
        <w:tblLook w:val="0000" w:firstRow="0" w:lastRow="0" w:firstColumn="0" w:lastColumn="0" w:noHBand="0" w:noVBand="0"/>
      </w:tblPr>
      <w:tblGrid>
        <w:gridCol w:w="2153"/>
        <w:gridCol w:w="7453"/>
      </w:tblGrid>
      <w:tr w:rsidR="00C2139D" w:rsidRPr="00C2139D" w:rsidTr="007F74B8">
        <w:trPr>
          <w:trHeight w:val="60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Краткосрочный (Февраль)</w:t>
            </w:r>
          </w:p>
        </w:tc>
      </w:tr>
      <w:tr w:rsidR="00C2139D" w:rsidRPr="00C2139D" w:rsidTr="007F74B8">
        <w:tblPrEx>
          <w:tblCellSpacing w:w="-5" w:type="nil"/>
        </w:tblPrEx>
        <w:trPr>
          <w:trHeight w:val="258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5A053A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139D" w:rsidRPr="00C2139D">
              <w:rPr>
                <w:rFonts w:ascii="Times New Roman" w:hAnsi="Times New Roman" w:cs="Times New Roman"/>
                <w:sz w:val="28"/>
                <w:szCs w:val="28"/>
              </w:rPr>
              <w:t>ознавательно - игровой.</w:t>
            </w:r>
          </w:p>
        </w:tc>
      </w:tr>
      <w:tr w:rsidR="00C2139D" w:rsidRPr="00C2139D" w:rsidTr="007F74B8">
        <w:tblPrEx>
          <w:tblCellSpacing w:w="-5" w:type="nil"/>
        </w:tblPrEx>
        <w:trPr>
          <w:trHeight w:val="265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</w:t>
            </w:r>
          </w:p>
        </w:tc>
      </w:tr>
      <w:tr w:rsidR="00C2139D" w:rsidRPr="00C2139D" w:rsidTr="007F74B8">
        <w:tblPrEx>
          <w:tblCellSpacing w:w="-5" w:type="nil"/>
        </w:tblPrEx>
        <w:trPr>
          <w:trHeight w:val="1901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Родителей и педагогов всегда волнует вопрос, как обеспечить полноценное развитие ребёнка в дошкольном возрасте, как правильно подготовить его к школе. Один из показателей интеллектуальной готовности ребёнка к школьному обучению - уровень развития математических и коммуникативных способностей.</w:t>
            </w:r>
          </w:p>
        </w:tc>
      </w:tr>
      <w:tr w:rsidR="00C2139D" w:rsidRPr="00C2139D" w:rsidTr="007F74B8">
        <w:tblPrEx>
          <w:tblCellSpacing w:w="-5" w:type="nil"/>
        </w:tblPrEx>
        <w:trPr>
          <w:trHeight w:val="346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Огромную роль в умственном воспитании и в развитии интеллекта ребенка играет математическое развитие. Математика обладает уникальным развивающим эффектом. 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Ее изучение способствует развитию мышления, памяти, речи, воображения, эмоций,  формирует настойчивость, терпение, творческий потенциал личности.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 Для нас было важно, чтобы дети испытывали радость от своих занятий. Наш прое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оился на основе интегрированного подхода, с применением игровых обучающих ситуаций, игры, исследовательской деятельности, самостоятельной и продуктивной деятельности детей.</w:t>
            </w:r>
          </w:p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9D" w:rsidRPr="00C2139D" w:rsidTr="007F74B8">
        <w:tblPrEx>
          <w:tblCellSpacing w:w="-5" w:type="nil"/>
        </w:tblPrEx>
        <w:trPr>
          <w:trHeight w:val="435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5A0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Повышение у детей старшего дошкольного возраста интереса к математике посредством создания условий для исследовательской деятельности по изучению геометрических фигур, цифр и линий во взаимосвязи с окружающей жизнью, с предметами ближайшего окружения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математических и творческих способностей детей с помощью развивающих игр математического содержания.</w:t>
            </w:r>
          </w:p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9D" w:rsidRPr="00C2139D" w:rsidTr="007F74B8">
        <w:tblPrEx>
          <w:tblCellSpacing w:w="-5" w:type="nil"/>
        </w:tblPrEx>
        <w:trPr>
          <w:trHeight w:val="2380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широкую любознательность в познавательной деятельности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дошкольников представления о геометрических фигурах и телах; цифрах от 0-20; 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разнообразных линиях.;  Развивать умения детей самостоятельно использовать полученные знания в разных видах деятельности, вовлекать сверстников в развёрнутые игры.;  Поддерживать интерес к познанию, созданию нового, необычного.; Способствовать развитию мыслительных операций и логического мышления.; Воспитывать умение строить догадки, рассуждения, экспериментировать, искать способы решения различных ситуаций.; Формировать заинтересованность родителей в достижениях своих детей в совместной с ними деятельности.</w:t>
            </w:r>
            <w:proofErr w:type="gramEnd"/>
          </w:p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9D" w:rsidRPr="00C2139D" w:rsidTr="007F74B8">
        <w:tblPrEx>
          <w:tblCellSpacing w:w="-5" w:type="nil"/>
        </w:tblPrEx>
        <w:trPr>
          <w:trHeight w:val="67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дидактических игр по математическому  развитию, 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сделанные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своими руками</w:t>
            </w:r>
          </w:p>
        </w:tc>
      </w:tr>
      <w:tr w:rsidR="00C2139D" w:rsidRPr="00C2139D" w:rsidTr="007F74B8">
        <w:tblPrEx>
          <w:tblCellSpacing w:w="-5" w:type="nil"/>
        </w:tblPrEx>
        <w:trPr>
          <w:trHeight w:val="67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0F1BB3" w:rsidP="007F7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азвивающие матем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атические игры, игры-самоделки; 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уклеты для родителей по математическому развитию детей;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 Консультация для родителей «Учим детей логически мыслить»; Изготовление атрибут к сюжетн</w:t>
            </w:r>
            <w:proofErr w:type="gramStart"/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ролевым играм «Почта», «Магазин»;  Конспект НОД по ИЗО  «На что похожи цифры»; 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игр «Посчитай, поставь цифру»; «Определи части суток» и т.д.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7F74B8"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(Аппликация) «Сказочный замок»; Конспект</w:t>
            </w: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НОД «Путешествие Пиратов по островам Математики»</w:t>
            </w:r>
          </w:p>
        </w:tc>
      </w:tr>
      <w:tr w:rsidR="00C2139D" w:rsidRPr="00C2139D" w:rsidTr="007F74B8">
        <w:tblPrEx>
          <w:tblCellSpacing w:w="-5" w:type="nil"/>
        </w:tblPrEx>
        <w:trPr>
          <w:trHeight w:val="70"/>
          <w:tblCellSpacing w:w="-5" w:type="nil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– анализируют предметы окружения, выявляя их сходства и различия, в том числе и с геометрическими эталонами;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преобразовывают геометрические фигуры, воссоздают их из часте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й–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сравнивают и классифицируют фигуры по четырем признакам;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определяют объем жидких и сыпучих материалов;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владеют приемами построения и перестроения из палочек;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умеют обозначать свойства предметов при помощи различных заменителей;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измеряют длину различными мерками;</w:t>
            </w:r>
          </w:p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– активно участвуют в воссоздании силуэтов, построек, изображений в играх моделирующего характера, как по образцу, так и по собственному замыслу;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придумывают новые варианты игр, сюжетов совместно с взрослыми и другими детьми;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br/>
              <w:t>– составляют и решают математические задачи со счетом;</w:t>
            </w:r>
          </w:p>
          <w:p w:rsidR="00C2139D" w:rsidRPr="00C2139D" w:rsidRDefault="00C2139D" w:rsidP="00C213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39D" w:rsidRPr="00C2139D" w:rsidRDefault="00C2139D" w:rsidP="00C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Подготовительный этап: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1. Подбор методической, художественной литературы, иллюстративного материала по данной теме.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2. Создание развивающей среды в группе.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3. Донесение до участников проекта важности данной проблемы.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4.Подбор материала для продуктивной деятельности.</w:t>
      </w:r>
    </w:p>
    <w:p w:rsidR="00C2139D" w:rsidRPr="00C2139D" w:rsidRDefault="00C2139D" w:rsidP="00C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5.Составление перспективного планирования различных видов деятельности по ФЭМП</w:t>
      </w:r>
      <w:r w:rsidRPr="00C21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139D" w:rsidRPr="00C2139D" w:rsidRDefault="00C2139D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39D">
        <w:rPr>
          <w:rFonts w:ascii="Times New Roman" w:hAnsi="Times New Roman" w:cs="Times New Roman"/>
          <w:b/>
          <w:bCs/>
          <w:sz w:val="28"/>
          <w:szCs w:val="28"/>
        </w:rPr>
        <w:t>2 Основной практический этап:</w:t>
      </w:r>
    </w:p>
    <w:tbl>
      <w:tblPr>
        <w:tblW w:w="9358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2405"/>
        <w:gridCol w:w="6953"/>
      </w:tblGrid>
      <w:tr w:rsidR="007F74B8" w:rsidRPr="00C2139D" w:rsidTr="007F74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Что планируется</w:t>
            </w:r>
          </w:p>
        </w:tc>
      </w:tr>
      <w:tr w:rsidR="007F74B8" w:rsidRPr="00C2139D" w:rsidTr="007F74B8">
        <w:tblPrEx>
          <w:tblCellSpacing w:w="-5" w:type="nil"/>
        </w:tblPrEx>
        <w:trPr>
          <w:tblCellSpacing w:w="-5" w:type="nil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- Рисование "Превращение треугольника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,... 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Овала,... Прямоугольника и т.д.</w:t>
            </w:r>
          </w:p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Решение логических задач по схемам</w:t>
            </w:r>
          </w:p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Консультация для родителей </w:t>
            </w:r>
            <w:r w:rsidRPr="00C2139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«Учим детей логически мыслить</w:t>
            </w:r>
          </w:p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Просмотр компьютерной презентации «Забавные фигуры»</w:t>
            </w:r>
          </w:p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Сюжетн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ролевая игра «Магазин»</w:t>
            </w:r>
          </w:p>
          <w:p w:rsidR="00C2139D" w:rsidRPr="00C2139D" w:rsidRDefault="00C2139D" w:rsidP="00C2139D">
            <w:pPr>
              <w:tabs>
                <w:tab w:val="left" w:pos="2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F74B8" w:rsidRPr="00C2139D" w:rsidTr="007F74B8">
        <w:tblPrEx>
          <w:tblCellSpacing w:w="-5" w:type="nil"/>
        </w:tblPrEx>
        <w:trPr>
          <w:tblCellSpacing w:w="-5" w:type="nil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Рамки-вкладыши "Цвета", "</w:t>
            </w:r>
            <w:proofErr w:type="spell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Геом</w:t>
            </w: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игуры</w:t>
            </w:r>
            <w:proofErr w:type="spellEnd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", «Геометрическая мозаика», «Математическое лото» и др.</w:t>
            </w:r>
          </w:p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атрибутов к </w:t>
            </w:r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>сюжетн</w:t>
            </w:r>
            <w:proofErr w:type="gramStart"/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ролевой 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игре</w:t>
            </w:r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«Почта» 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детьми.</w:t>
            </w:r>
          </w:p>
          <w:p w:rsidR="00C2139D" w:rsidRPr="007F74B8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- ИЗО</w:t>
            </w:r>
            <w:r w:rsidR="005A053A"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 «На что похожи цифры»</w:t>
            </w:r>
            <w:proofErr w:type="gramEnd"/>
          </w:p>
          <w:p w:rsidR="005A053A" w:rsidRPr="00C2139D" w:rsidRDefault="005A053A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дидактических игр «Посчитай, поставь цифру»; </w:t>
            </w:r>
            <w:r w:rsidR="003D60A7" w:rsidRPr="007F74B8">
              <w:rPr>
                <w:rFonts w:ascii="Times New Roman" w:hAnsi="Times New Roman" w:cs="Times New Roman"/>
                <w:sz w:val="28"/>
                <w:szCs w:val="28"/>
              </w:rPr>
              <w:t>«Определи части суток» и т.д.</w:t>
            </w:r>
          </w:p>
        </w:tc>
      </w:tr>
      <w:tr w:rsidR="007F74B8" w:rsidRPr="00C2139D" w:rsidTr="007F74B8">
        <w:tblPrEx>
          <w:tblCellSpacing w:w="-5" w:type="nil"/>
        </w:tblPrEx>
        <w:trPr>
          <w:tblCellSpacing w:w="-5" w:type="nil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- Сюжетно – ролевая игра «Почта»</w:t>
            </w:r>
          </w:p>
          <w:p w:rsidR="00C2139D" w:rsidRPr="007F74B8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60A7" w:rsidRPr="007F74B8">
              <w:rPr>
                <w:rFonts w:ascii="Times New Roman" w:hAnsi="Times New Roman" w:cs="Times New Roman"/>
                <w:sz w:val="28"/>
                <w:szCs w:val="28"/>
              </w:rPr>
              <w:t>НОД (Аппликация) «Сказочный замок»</w:t>
            </w:r>
          </w:p>
          <w:p w:rsidR="003D60A7" w:rsidRPr="007F74B8" w:rsidRDefault="003D60A7" w:rsidP="003D6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- Заучивание стихотворения о геометрических фигурах и числах.</w:t>
            </w:r>
          </w:p>
          <w:p w:rsidR="003D60A7" w:rsidRPr="00C2139D" w:rsidRDefault="003D60A7" w:rsidP="003D6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4B8">
              <w:rPr>
                <w:rFonts w:ascii="Times New Roman" w:hAnsi="Times New Roman" w:cs="Times New Roman"/>
                <w:sz w:val="28"/>
                <w:szCs w:val="28"/>
              </w:rPr>
              <w:t>-  Открытое НОД для родителей «Путешествие Пиратов по островам Математики»</w:t>
            </w:r>
          </w:p>
        </w:tc>
      </w:tr>
      <w:tr w:rsidR="007F74B8" w:rsidRPr="00C2139D" w:rsidTr="007F74B8">
        <w:tblPrEx>
          <w:tblCellSpacing w:w="-5" w:type="nil"/>
        </w:tblPrEx>
        <w:trPr>
          <w:tblCellSpacing w:w="-5" w:type="nil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C2139D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9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Pr="00C2139D" w:rsidRDefault="005A053A" w:rsidP="00C2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дидактических игр изготовление своими руками.</w:t>
            </w:r>
          </w:p>
        </w:tc>
      </w:tr>
    </w:tbl>
    <w:p w:rsidR="00C2139D" w:rsidRPr="00C2139D" w:rsidRDefault="00C2139D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Заключительный этап </w:t>
      </w:r>
    </w:p>
    <w:p w:rsidR="000F1BB3" w:rsidRPr="007F74B8" w:rsidRDefault="000F1BB3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74B8">
        <w:rPr>
          <w:rFonts w:ascii="Times New Roman" w:hAnsi="Times New Roman" w:cs="Times New Roman"/>
          <w:sz w:val="28"/>
          <w:szCs w:val="28"/>
        </w:rPr>
        <w:t>Выставка дидактических игр изготовление своими руками.</w:t>
      </w:r>
    </w:p>
    <w:p w:rsidR="00C2139D" w:rsidRPr="00C2139D" w:rsidRDefault="00C2139D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139D">
        <w:rPr>
          <w:rFonts w:ascii="Times New Roman" w:hAnsi="Times New Roman" w:cs="Times New Roman"/>
          <w:sz w:val="28"/>
          <w:szCs w:val="28"/>
        </w:rPr>
        <w:t>Результаты работы по проекту:</w:t>
      </w:r>
    </w:p>
    <w:p w:rsidR="00C2139D" w:rsidRPr="00C2139D" w:rsidRDefault="00C2139D" w:rsidP="00C21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74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FB3882" wp14:editId="05B38CB3">
            <wp:extent cx="3200400" cy="15754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9D" w:rsidRPr="00C2139D" w:rsidRDefault="00C2139D" w:rsidP="00C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139D">
        <w:rPr>
          <w:rFonts w:ascii="Times New Roman" w:hAnsi="Times New Roman" w:cs="Times New Roman"/>
          <w:sz w:val="28"/>
          <w:szCs w:val="28"/>
        </w:rPr>
        <w:t xml:space="preserve">На начало проекта детская активность было всего 25%. Но в течение проектной деятельности, детская активность поднялась на 78%, что говорит об эффективных методах и приемах в проектной деятельности. </w:t>
      </w:r>
      <w:proofErr w:type="gramStart"/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мониторинга </w:t>
      </w:r>
      <w:r w:rsidRPr="00C213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математического развития показал, </w:t>
      </w:r>
      <w:r w:rsidR="000F1BB3" w:rsidRPr="007F74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повышение у детей старшего дошкольного возраста интереса к математике посредством создания условий для исследовательской деятельности по изучению геометрических фигур, цифр и линий во взаимосвязи с окружающей жизнью, с предметами ближайшего окружения, </w:t>
      </w:r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>что использование системы работы по </w:t>
      </w:r>
      <w:r w:rsidRPr="00C213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развитию логико-математических</w:t>
      </w:r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представлений и методики </w:t>
      </w:r>
      <w:r w:rsidRPr="00C213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развивающего </w:t>
      </w:r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</w:t>
      </w:r>
      <w:r w:rsidR="000F1BB3" w:rsidRPr="007F7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позволило повысить </w:t>
      </w:r>
      <w:r w:rsidRPr="00C213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математическую</w:t>
      </w:r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> компетентность старших дошкольников.</w:t>
      </w:r>
      <w:proofErr w:type="gramEnd"/>
      <w:r w:rsidRPr="00C21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улучшилось восприятие ими окружающего мира и видения в нем пропорциональности, упорядоченности и гармоничности.</w:t>
      </w: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39D" w:rsidRPr="00C2139D" w:rsidRDefault="00C2139D" w:rsidP="00C2139D">
      <w:pPr>
        <w:shd w:val="clear" w:color="auto" w:fill="FFFFFF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A66" w:rsidRDefault="007F74B8" w:rsidP="00C2139D">
      <w:bookmarkStart w:id="0" w:name="_GoBack"/>
      <w:bookmarkEnd w:id="0"/>
    </w:p>
    <w:sectPr w:rsidR="00C40A66" w:rsidSect="005A053A">
      <w:pgSz w:w="11906" w:h="16838"/>
      <w:pgMar w:top="1134" w:right="1133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E4E1"/>
    <w:multiLevelType w:val="multilevel"/>
    <w:tmpl w:val="1D4BF0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3FFF5808"/>
    <w:multiLevelType w:val="multilevel"/>
    <w:tmpl w:val="43B6BE6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3"/>
    </w:lvlOverride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9D"/>
    <w:rsid w:val="000F1BB3"/>
    <w:rsid w:val="003D60A7"/>
    <w:rsid w:val="005A053A"/>
    <w:rsid w:val="007F74B8"/>
    <w:rsid w:val="00893130"/>
    <w:rsid w:val="009A0316"/>
    <w:rsid w:val="00C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2020-09-20T08:34:00Z</dcterms:created>
  <dcterms:modified xsi:type="dcterms:W3CDTF">2020-09-20T09:17:00Z</dcterms:modified>
</cp:coreProperties>
</file>